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47" w:rsidRDefault="007A0578">
      <w:pPr>
        <w:adjustRightInd w:val="0"/>
        <w:snapToGrid w:val="0"/>
        <w:spacing w:line="360" w:lineRule="auto"/>
        <w:rPr>
          <w:rFonts w:ascii="黑体" w:eastAsia="黑体" w:hAnsi="黑体"/>
          <w:sz w:val="28"/>
          <w:szCs w:val="28"/>
        </w:rPr>
      </w:pPr>
      <w:r>
        <w:rPr>
          <w:rFonts w:ascii="黑体" w:eastAsia="黑体" w:hAnsi="黑体" w:hint="eastAsia"/>
          <w:sz w:val="28"/>
          <w:szCs w:val="28"/>
        </w:rPr>
        <w:t>附件</w:t>
      </w:r>
      <w:r w:rsidR="00C1306E">
        <w:rPr>
          <w:rFonts w:ascii="黑体" w:eastAsia="黑体" w:hAnsi="黑体" w:hint="eastAsia"/>
          <w:sz w:val="28"/>
          <w:szCs w:val="28"/>
        </w:rPr>
        <w:t>9</w:t>
      </w:r>
    </w:p>
    <w:p w:rsidR="00995047" w:rsidRDefault="007A0578">
      <w:pPr>
        <w:jc w:val="center"/>
        <w:rPr>
          <w:rFonts w:ascii="宋体" w:hAnsi="宋体"/>
          <w:b/>
          <w:sz w:val="44"/>
          <w:szCs w:val="44"/>
        </w:rPr>
      </w:pPr>
      <w:r>
        <w:rPr>
          <w:rFonts w:ascii="宋体" w:hAnsi="宋体"/>
          <w:b/>
          <w:sz w:val="44"/>
          <w:szCs w:val="44"/>
        </w:rPr>
        <w:t>同种</w:t>
      </w:r>
      <w:r>
        <w:rPr>
          <w:rFonts w:ascii="宋体" w:hAnsi="宋体" w:hint="eastAsia"/>
          <w:b/>
          <w:sz w:val="44"/>
          <w:szCs w:val="44"/>
        </w:rPr>
        <w:t>异体皮肤</w:t>
      </w:r>
      <w:r>
        <w:rPr>
          <w:rFonts w:ascii="宋体" w:hAnsi="宋体"/>
          <w:b/>
          <w:sz w:val="44"/>
          <w:szCs w:val="44"/>
        </w:rPr>
        <w:t>移植技术管理规范</w:t>
      </w:r>
    </w:p>
    <w:p w:rsidR="00995047" w:rsidRDefault="007A0578">
      <w:pPr>
        <w:spacing w:line="360" w:lineRule="auto"/>
        <w:jc w:val="center"/>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（201</w:t>
      </w:r>
      <w:r w:rsidR="00F0710B">
        <w:rPr>
          <w:rFonts w:ascii="楷体_GB2312" w:eastAsia="楷体_GB2312" w:hAnsi="宋体" w:cs="宋体" w:hint="eastAsia"/>
          <w:b/>
          <w:color w:val="000000"/>
          <w:kern w:val="0"/>
          <w:sz w:val="32"/>
          <w:szCs w:val="32"/>
        </w:rPr>
        <w:t>7</w:t>
      </w:r>
      <w:bookmarkStart w:id="0" w:name="_GoBack"/>
      <w:bookmarkEnd w:id="0"/>
      <w:r>
        <w:rPr>
          <w:rFonts w:ascii="楷体_GB2312" w:eastAsia="楷体_GB2312" w:hAnsi="宋体" w:cs="宋体" w:hint="eastAsia"/>
          <w:b/>
          <w:color w:val="000000"/>
          <w:kern w:val="0"/>
          <w:sz w:val="32"/>
          <w:szCs w:val="32"/>
        </w:rPr>
        <w:t>年</w:t>
      </w:r>
      <w:r w:rsidR="00304415">
        <w:rPr>
          <w:rFonts w:ascii="楷体_GB2312" w:eastAsia="楷体_GB2312" w:hAnsi="宋体" w:cs="宋体" w:hint="eastAsia"/>
          <w:b/>
          <w:color w:val="000000"/>
          <w:kern w:val="0"/>
          <w:sz w:val="32"/>
          <w:szCs w:val="32"/>
        </w:rPr>
        <w:t>版</w:t>
      </w:r>
      <w:r>
        <w:rPr>
          <w:rFonts w:ascii="楷体_GB2312" w:eastAsia="楷体_GB2312" w:hAnsi="宋体" w:cs="宋体" w:hint="eastAsia"/>
          <w:b/>
          <w:color w:val="000000"/>
          <w:kern w:val="0"/>
          <w:sz w:val="32"/>
          <w:szCs w:val="32"/>
        </w:rPr>
        <w:t>）</w:t>
      </w:r>
    </w:p>
    <w:p w:rsidR="00995047" w:rsidRDefault="00995047">
      <w:pPr>
        <w:jc w:val="center"/>
        <w:rPr>
          <w:rFonts w:ascii="宋体" w:hAnsi="宋体"/>
          <w:b/>
          <w:szCs w:val="21"/>
        </w:rPr>
      </w:pPr>
    </w:p>
    <w:p w:rsidR="00995047" w:rsidRDefault="007A057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为规范同种异体皮肤移植技术临床应用，保证医疗质量和医疗安全，制定本规范。本规范是医疗机构及其医务人员开展同种异体皮肤移植技术的最低要求。</w:t>
      </w:r>
    </w:p>
    <w:p w:rsidR="00995047" w:rsidRDefault="007A057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本规范所称同种异体皮肤移植技术是指将捐献人（供体）的皮肤组织移植到接收人（受体）因烧伤、创伤导致的皮肤缺失或受损部位，以保护创面、促进修复的治疗技术。</w:t>
      </w:r>
    </w:p>
    <w:p w:rsidR="00995047" w:rsidRDefault="007A0578">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一、医疗机构的基本要求</w:t>
      </w:r>
    </w:p>
    <w:p w:rsidR="00995047" w:rsidRDefault="007A057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（一）医疗机构开展同种异体皮肤移植技术应当与其</w:t>
      </w:r>
      <w:r>
        <w:rPr>
          <w:rFonts w:ascii="仿宋_GB2312" w:eastAsia="仿宋_GB2312" w:hAnsi="宋体" w:cs="Times New Roman" w:hint="eastAsia"/>
          <w:sz w:val="32"/>
          <w:szCs w:val="32"/>
        </w:rPr>
        <w:t>功能、任务和技术能力</w:t>
      </w:r>
      <w:r>
        <w:rPr>
          <w:rFonts w:ascii="仿宋_GB2312" w:eastAsia="仿宋_GB2312" w:hint="eastAsia"/>
          <w:sz w:val="32"/>
          <w:szCs w:val="32"/>
        </w:rPr>
        <w:t>相适应。</w:t>
      </w:r>
    </w:p>
    <w:p w:rsidR="00995047" w:rsidRDefault="007A057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（二）有卫生计生行政部门核准登记的烧伤科和整形外科诊疗科目，开展相关临床诊疗工作15年以上，床位30张以上。有重症医学科。</w:t>
      </w:r>
    </w:p>
    <w:p w:rsidR="00995047" w:rsidRDefault="007A057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（三）每年完成烧伤、整形等创面修复手术150例以上，有特重度烧伤患者成功救治的能力和经验。</w:t>
      </w:r>
    </w:p>
    <w:p w:rsidR="00995047" w:rsidRDefault="007A0578">
      <w:pPr>
        <w:adjustRightInd w:val="0"/>
        <w:snapToGrid w:val="0"/>
        <w:spacing w:line="360" w:lineRule="auto"/>
        <w:ind w:firstLineChars="200" w:firstLine="640"/>
        <w:rPr>
          <w:rFonts w:ascii="仿宋_GB2312" w:eastAsia="仿宋_GB2312"/>
          <w:sz w:val="32"/>
          <w:szCs w:val="32"/>
        </w:rPr>
      </w:pPr>
      <w:r>
        <w:rPr>
          <w:rFonts w:ascii="仿宋_GB2312" w:eastAsia="仿宋_GB2312" w:hAnsi="ˎ̥" w:hint="eastAsia"/>
          <w:sz w:val="32"/>
          <w:szCs w:val="32"/>
        </w:rPr>
        <w:t>（四）</w:t>
      </w:r>
      <w:r>
        <w:rPr>
          <w:rFonts w:ascii="仿宋_GB2312" w:eastAsia="仿宋_GB2312" w:hint="eastAsia"/>
          <w:sz w:val="32"/>
          <w:szCs w:val="32"/>
        </w:rPr>
        <w:t>手术室。</w:t>
      </w:r>
    </w:p>
    <w:p w:rsidR="00995047" w:rsidRDefault="007A0578">
      <w:pPr>
        <w:adjustRightInd w:val="0"/>
        <w:snapToGrid w:val="0"/>
        <w:spacing w:line="360" w:lineRule="auto"/>
        <w:ind w:firstLineChars="200" w:firstLine="640"/>
        <w:rPr>
          <w:rFonts w:ascii="仿宋_GB2312" w:eastAsia="仿宋_GB2312" w:hAnsi="ˎ̥"/>
          <w:sz w:val="32"/>
          <w:szCs w:val="32"/>
        </w:rPr>
      </w:pPr>
      <w:r>
        <w:rPr>
          <w:rFonts w:ascii="仿宋_GB2312" w:eastAsia="仿宋_GB2312" w:hint="eastAsia"/>
          <w:sz w:val="32"/>
          <w:szCs w:val="32"/>
        </w:rPr>
        <w:t>1.</w:t>
      </w:r>
      <w:r>
        <w:rPr>
          <w:rFonts w:ascii="仿宋_GB2312" w:eastAsia="仿宋_GB2312" w:hAnsi="仿宋_GB2312" w:cs="仿宋_GB2312" w:hint="eastAsia"/>
          <w:sz w:val="32"/>
          <w:szCs w:val="32"/>
        </w:rPr>
        <w:t>洁净手术部的建筑布局、基本配备、净化标准和用房分级等应当符合《医院洁净手术部建筑技术规范GB50333—2002》。</w:t>
      </w:r>
    </w:p>
    <w:p w:rsidR="00995047" w:rsidRDefault="007A0578">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hAnsi="ˎ̥" w:hint="eastAsia"/>
          <w:sz w:val="32"/>
          <w:szCs w:val="32"/>
        </w:rPr>
        <w:t>能够进行心、肺、脑抢救复苏，有氧气通道、麻醉机、</w:t>
      </w:r>
      <w:r>
        <w:rPr>
          <w:rFonts w:ascii="仿宋_GB2312" w:eastAsia="仿宋_GB2312" w:hint="eastAsia"/>
          <w:sz w:val="32"/>
          <w:szCs w:val="32"/>
        </w:rPr>
        <w:lastRenderedPageBreak/>
        <w:t>除颤仪</w:t>
      </w:r>
      <w:r>
        <w:rPr>
          <w:rFonts w:ascii="仿宋_GB2312" w:eastAsia="仿宋_GB2312" w:hAnsi="ˎ̥" w:hint="eastAsia"/>
          <w:sz w:val="32"/>
          <w:szCs w:val="32"/>
        </w:rPr>
        <w:t>、吸引器等必要的急救设备和药品。</w:t>
      </w:r>
    </w:p>
    <w:p w:rsidR="00304415" w:rsidRDefault="007A0578" w:rsidP="00304415">
      <w:pPr>
        <w:adjustRightInd w:val="0"/>
        <w:snapToGrid w:val="0"/>
        <w:spacing w:line="360" w:lineRule="auto"/>
        <w:ind w:firstLineChars="150" w:firstLine="480"/>
        <w:rPr>
          <w:rFonts w:ascii="仿宋_GB2312" w:eastAsia="仿宋_GB2312" w:hAnsi="ˎ̥"/>
          <w:color w:val="FF0000"/>
          <w:sz w:val="32"/>
          <w:szCs w:val="32"/>
        </w:rPr>
      </w:pPr>
      <w:r>
        <w:rPr>
          <w:rFonts w:ascii="仿宋_GB2312" w:eastAsia="仿宋_GB2312" w:hint="eastAsia"/>
          <w:sz w:val="32"/>
          <w:szCs w:val="32"/>
        </w:rPr>
        <w:t xml:space="preserve"> 3</w:t>
      </w:r>
      <w:r>
        <w:rPr>
          <w:rFonts w:ascii="仿宋_GB2312" w:eastAsia="仿宋_GB2312" w:hAnsi="ˎ̥" w:hint="eastAsia"/>
          <w:sz w:val="32"/>
          <w:szCs w:val="32"/>
        </w:rPr>
        <w:t>.配备取、植皮术及皮肤加工等相关器械，如电动取皮刀、滚轴取皮刀、鼓式取皮机、皮肤</w:t>
      </w:r>
      <w:proofErr w:type="gramStart"/>
      <w:r>
        <w:rPr>
          <w:rFonts w:ascii="仿宋_GB2312" w:eastAsia="仿宋_GB2312" w:hAnsi="ˎ̥" w:hint="eastAsia"/>
          <w:sz w:val="32"/>
          <w:szCs w:val="32"/>
        </w:rPr>
        <w:t>拉网机</w:t>
      </w:r>
      <w:proofErr w:type="gramEnd"/>
      <w:r>
        <w:rPr>
          <w:rFonts w:ascii="仿宋_GB2312" w:eastAsia="仿宋_GB2312" w:hAnsi="ˎ̥" w:hint="eastAsia"/>
          <w:sz w:val="32"/>
          <w:szCs w:val="32"/>
        </w:rPr>
        <w:t>等。</w:t>
      </w:r>
    </w:p>
    <w:p w:rsidR="00304415" w:rsidRDefault="007A0578" w:rsidP="00304415">
      <w:pPr>
        <w:adjustRightInd w:val="0"/>
        <w:snapToGrid w:val="0"/>
        <w:spacing w:line="360" w:lineRule="auto"/>
        <w:ind w:firstLineChars="150" w:firstLine="480"/>
        <w:rPr>
          <w:rFonts w:ascii="仿宋_GB2312" w:eastAsia="仿宋_GB2312" w:hAnsi="ˎ̥"/>
          <w:color w:val="FF0000"/>
          <w:sz w:val="32"/>
          <w:szCs w:val="32"/>
        </w:rPr>
      </w:pPr>
      <w:r>
        <w:rPr>
          <w:rFonts w:ascii="仿宋_GB2312" w:eastAsia="仿宋_GB2312" w:hAnsi="ˎ̥" w:hint="eastAsia"/>
          <w:sz w:val="32"/>
          <w:szCs w:val="32"/>
        </w:rPr>
        <w:t>（五）重症医学科。</w:t>
      </w:r>
    </w:p>
    <w:p w:rsidR="00304415" w:rsidRDefault="007A0578" w:rsidP="00304415">
      <w:pPr>
        <w:adjustRightInd w:val="0"/>
        <w:snapToGrid w:val="0"/>
        <w:spacing w:line="360" w:lineRule="auto"/>
        <w:ind w:firstLineChars="200" w:firstLine="640"/>
        <w:rPr>
          <w:rFonts w:ascii="仿宋_GB2312" w:eastAsia="仿宋_GB2312" w:hAnsi="ˎ̥"/>
          <w:color w:val="FF0000"/>
          <w:sz w:val="32"/>
          <w:szCs w:val="32"/>
        </w:rPr>
      </w:pPr>
      <w:r>
        <w:rPr>
          <w:rFonts w:ascii="仿宋_GB2312" w:eastAsia="仿宋_GB2312" w:hint="eastAsia"/>
          <w:sz w:val="32"/>
          <w:szCs w:val="32"/>
        </w:rPr>
        <w:t>1.设置符合规范要求，达到Ⅲ级洁净辅助用房标准。病床不少于20张，每病床净使用面积不少于15平方米，能够满足</w:t>
      </w:r>
      <w:r>
        <w:rPr>
          <w:rFonts w:ascii="仿宋_GB2312" w:eastAsia="仿宋_GB2312" w:hAnsi="ˎ̥" w:hint="eastAsia"/>
          <w:sz w:val="32"/>
          <w:szCs w:val="32"/>
        </w:rPr>
        <w:t>同种异体皮肤移植技术诊疗专业需求。</w:t>
      </w:r>
    </w:p>
    <w:p w:rsidR="00304415" w:rsidRDefault="007A0578" w:rsidP="00304415">
      <w:pPr>
        <w:adjustRightInd w:val="0"/>
        <w:snapToGrid w:val="0"/>
        <w:spacing w:line="360" w:lineRule="auto"/>
        <w:ind w:firstLineChars="200" w:firstLine="640"/>
        <w:rPr>
          <w:rFonts w:ascii="仿宋_GB2312" w:eastAsia="仿宋_GB2312" w:hAnsi="ˎ̥"/>
          <w:color w:val="FF0000"/>
          <w:sz w:val="32"/>
          <w:szCs w:val="32"/>
        </w:rPr>
      </w:pPr>
      <w:r>
        <w:rPr>
          <w:rFonts w:ascii="仿宋_GB2312" w:eastAsia="仿宋_GB2312" w:hint="eastAsia"/>
          <w:sz w:val="32"/>
          <w:szCs w:val="32"/>
        </w:rPr>
        <w:t>2.</w:t>
      </w:r>
      <w:r>
        <w:rPr>
          <w:rFonts w:ascii="仿宋_GB2312" w:eastAsia="仿宋_GB2312" w:hAnsi="ˎ̥" w:hint="eastAsia"/>
          <w:sz w:val="32"/>
          <w:szCs w:val="32"/>
        </w:rPr>
        <w:t>有多功能心电监护仪、组织血流监测、中心供氧和中心吸引器。</w:t>
      </w:r>
    </w:p>
    <w:p w:rsidR="00304415" w:rsidRDefault="007A0578" w:rsidP="00304415">
      <w:pPr>
        <w:adjustRightInd w:val="0"/>
        <w:snapToGrid w:val="0"/>
        <w:spacing w:line="360" w:lineRule="auto"/>
        <w:ind w:firstLineChars="200" w:firstLine="640"/>
        <w:rPr>
          <w:rFonts w:ascii="仿宋_GB2312" w:eastAsia="仿宋_GB2312" w:hAnsi="ˎ̥"/>
          <w:sz w:val="32"/>
          <w:szCs w:val="32"/>
        </w:rPr>
      </w:pPr>
      <w:r>
        <w:rPr>
          <w:rFonts w:ascii="仿宋_GB2312" w:eastAsia="仿宋_GB2312" w:hint="eastAsia"/>
          <w:sz w:val="32"/>
          <w:szCs w:val="32"/>
        </w:rPr>
        <w:t>3.</w:t>
      </w:r>
      <w:r>
        <w:rPr>
          <w:rFonts w:ascii="仿宋_GB2312" w:eastAsia="仿宋_GB2312" w:hAnsi="ˎ̥" w:hint="eastAsia"/>
          <w:sz w:val="32"/>
          <w:szCs w:val="32"/>
        </w:rPr>
        <w:t>配备有</w:t>
      </w:r>
      <w:r>
        <w:rPr>
          <w:rFonts w:ascii="仿宋_GB2312" w:eastAsia="仿宋_GB2312" w:hint="eastAsia"/>
          <w:sz w:val="32"/>
          <w:szCs w:val="32"/>
        </w:rPr>
        <w:t>经过专业培训并考核合格的、具有5年以上重症监护工作经验的专职</w:t>
      </w:r>
      <w:r>
        <w:rPr>
          <w:rFonts w:ascii="仿宋_GB2312" w:eastAsia="仿宋_GB2312" w:hAnsi="ˎ̥" w:hint="eastAsia"/>
          <w:sz w:val="32"/>
          <w:szCs w:val="32"/>
        </w:rPr>
        <w:t>医师和护士。</w:t>
      </w:r>
    </w:p>
    <w:p w:rsidR="00304415" w:rsidRDefault="007A0578" w:rsidP="00304415">
      <w:pPr>
        <w:adjustRightInd w:val="0"/>
        <w:snapToGrid w:val="0"/>
        <w:spacing w:line="360" w:lineRule="auto"/>
        <w:ind w:firstLineChars="200" w:firstLine="640"/>
        <w:rPr>
          <w:rFonts w:ascii="仿宋_GB2312" w:eastAsia="仿宋_GB2312" w:hAnsi="ˎ̥"/>
          <w:color w:val="FF0000"/>
          <w:sz w:val="32"/>
          <w:szCs w:val="32"/>
        </w:rPr>
      </w:pPr>
      <w:r>
        <w:rPr>
          <w:rFonts w:ascii="仿宋_GB2312" w:eastAsia="仿宋_GB2312" w:hAnsi="ˎ̥" w:hint="eastAsia"/>
          <w:sz w:val="32"/>
          <w:szCs w:val="32"/>
        </w:rPr>
        <w:t>（六）其他辅助科室和设备。</w:t>
      </w:r>
    </w:p>
    <w:p w:rsidR="00304415" w:rsidRDefault="007A0578" w:rsidP="00304415">
      <w:pPr>
        <w:adjustRightInd w:val="0"/>
        <w:snapToGrid w:val="0"/>
        <w:spacing w:line="360" w:lineRule="auto"/>
        <w:ind w:firstLineChars="200" w:firstLine="640"/>
        <w:rPr>
          <w:rFonts w:ascii="仿宋_GB2312" w:eastAsia="仿宋_GB2312" w:hAnsi="ˎ̥"/>
          <w:color w:val="FF0000"/>
          <w:sz w:val="32"/>
          <w:szCs w:val="32"/>
        </w:rPr>
      </w:pPr>
      <w:r>
        <w:rPr>
          <w:rFonts w:ascii="仿宋_GB2312" w:eastAsia="仿宋_GB2312" w:hint="eastAsia"/>
          <w:sz w:val="32"/>
          <w:szCs w:val="32"/>
        </w:rPr>
        <w:t>1.</w:t>
      </w:r>
      <w:r>
        <w:rPr>
          <w:rFonts w:ascii="仿宋_GB2312" w:eastAsia="仿宋_GB2312" w:hAnsi="ˎ̥" w:hint="eastAsia"/>
          <w:sz w:val="32"/>
          <w:szCs w:val="32"/>
        </w:rPr>
        <w:t>临床实验室符合规定，同种异体皮肤移植相关检验项目参加室间质量评价并合格，能够开展免疫抑制剂血药浓度检测</w:t>
      </w:r>
      <w:r>
        <w:rPr>
          <w:rFonts w:ascii="仿宋_GB2312" w:eastAsia="仿宋_GB2312" w:hint="eastAsia"/>
          <w:kern w:val="0"/>
          <w:sz w:val="32"/>
          <w:szCs w:val="32"/>
        </w:rPr>
        <w:t>。</w:t>
      </w:r>
    </w:p>
    <w:p w:rsidR="00304415" w:rsidRDefault="007A0578" w:rsidP="00304415">
      <w:pPr>
        <w:adjustRightInd w:val="0"/>
        <w:snapToGrid w:val="0"/>
        <w:spacing w:line="360" w:lineRule="auto"/>
        <w:ind w:firstLineChars="200" w:firstLine="640"/>
        <w:rPr>
          <w:rFonts w:ascii="仿宋_GB2312" w:eastAsia="仿宋_GB2312" w:hAnsi="ˎ̥"/>
          <w:color w:val="FF0000"/>
          <w:sz w:val="32"/>
          <w:szCs w:val="32"/>
        </w:rPr>
      </w:pPr>
      <w:r>
        <w:rPr>
          <w:rFonts w:ascii="仿宋_GB2312" w:eastAsia="仿宋_GB2312" w:hint="eastAsia"/>
          <w:sz w:val="32"/>
          <w:szCs w:val="32"/>
        </w:rPr>
        <w:t>2</w:t>
      </w:r>
      <w:r>
        <w:rPr>
          <w:rFonts w:ascii="仿宋_GB2312" w:eastAsia="仿宋_GB2312" w:hAnsi="ˎ̥" w:hint="eastAsia"/>
          <w:sz w:val="32"/>
          <w:szCs w:val="32"/>
        </w:rPr>
        <w:t>.医学影像</w:t>
      </w:r>
      <w:proofErr w:type="gramStart"/>
      <w:r>
        <w:rPr>
          <w:rFonts w:ascii="仿宋_GB2312" w:eastAsia="仿宋_GB2312" w:hAnsi="ˎ̥" w:hint="eastAsia"/>
          <w:sz w:val="32"/>
          <w:szCs w:val="32"/>
        </w:rPr>
        <w:t>科具备</w:t>
      </w:r>
      <w:proofErr w:type="gramEnd"/>
      <w:r>
        <w:rPr>
          <w:rFonts w:ascii="仿宋_GB2312" w:eastAsia="仿宋_GB2312" w:hAnsi="ˎ̥" w:hint="eastAsia"/>
          <w:sz w:val="32"/>
          <w:szCs w:val="32"/>
        </w:rPr>
        <w:t>能够配合重症烧伤治疗的相关诊疗设备。</w:t>
      </w:r>
    </w:p>
    <w:p w:rsidR="00304415" w:rsidRPr="00304415" w:rsidRDefault="00304415" w:rsidP="00304415">
      <w:pPr>
        <w:adjustRightInd w:val="0"/>
        <w:snapToGrid w:val="0"/>
        <w:spacing w:line="360" w:lineRule="auto"/>
        <w:ind w:firstLineChars="200" w:firstLine="640"/>
        <w:rPr>
          <w:rFonts w:ascii="仿宋_GB2312" w:eastAsia="仿宋_GB2312" w:hAnsi="ˎ̥"/>
          <w:color w:val="FF0000"/>
          <w:sz w:val="32"/>
          <w:szCs w:val="32"/>
        </w:rPr>
      </w:pPr>
      <w:r>
        <w:rPr>
          <w:rFonts w:ascii="仿宋_GB2312" w:eastAsia="仿宋_GB2312" w:hAnsi="ˎ̥" w:hint="eastAsia"/>
          <w:sz w:val="32"/>
          <w:szCs w:val="32"/>
        </w:rPr>
        <w:t>3.具备基本的液氮保存设备。</w:t>
      </w:r>
    </w:p>
    <w:p w:rsidR="00995047" w:rsidRDefault="007A0578">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（七）有至少4名具有同种异体皮肤移植技术临床应用能力的</w:t>
      </w:r>
      <w:proofErr w:type="gramStart"/>
      <w:r>
        <w:rPr>
          <w:rFonts w:ascii="仿宋_GB2312" w:eastAsia="仿宋_GB2312" w:hint="eastAsia"/>
          <w:sz w:val="32"/>
          <w:szCs w:val="32"/>
        </w:rPr>
        <w:t>本医疗</w:t>
      </w:r>
      <w:proofErr w:type="gramEnd"/>
      <w:r>
        <w:rPr>
          <w:rFonts w:ascii="仿宋_GB2312" w:eastAsia="仿宋_GB2312" w:hint="eastAsia"/>
          <w:sz w:val="32"/>
          <w:szCs w:val="32"/>
        </w:rPr>
        <w:t>机构注册医师，以及与开展本技术相适应的其他专业技术人员。</w:t>
      </w:r>
    </w:p>
    <w:p w:rsidR="00995047" w:rsidRDefault="007A0578">
      <w:pPr>
        <w:adjustRightInd w:val="0"/>
        <w:snapToGrid w:val="0"/>
        <w:spacing w:line="360" w:lineRule="auto"/>
        <w:ind w:firstLineChars="150" w:firstLine="480"/>
        <w:rPr>
          <w:rFonts w:ascii="黑体" w:eastAsia="黑体"/>
          <w:sz w:val="32"/>
          <w:szCs w:val="32"/>
        </w:rPr>
      </w:pPr>
      <w:r>
        <w:rPr>
          <w:rFonts w:ascii="黑体" w:eastAsia="黑体" w:hint="eastAsia"/>
          <w:sz w:val="32"/>
          <w:szCs w:val="32"/>
        </w:rPr>
        <w:t xml:space="preserve"> 二、人员基本要求</w:t>
      </w:r>
    </w:p>
    <w:p w:rsidR="00995047" w:rsidRDefault="007A0578">
      <w:pPr>
        <w:adjustRightInd w:val="0"/>
        <w:snapToGrid w:val="0"/>
        <w:spacing w:line="360" w:lineRule="auto"/>
        <w:ind w:firstLineChars="150" w:firstLine="480"/>
        <w:rPr>
          <w:rFonts w:ascii="仿宋_GB2312" w:eastAsia="仿宋_GB2312"/>
          <w:kern w:val="0"/>
          <w:sz w:val="32"/>
          <w:szCs w:val="32"/>
        </w:rPr>
      </w:pPr>
      <w:r>
        <w:rPr>
          <w:rFonts w:ascii="仿宋_GB2312" w:eastAsia="仿宋_GB2312" w:hint="eastAsia"/>
          <w:kern w:val="0"/>
          <w:sz w:val="32"/>
          <w:szCs w:val="32"/>
        </w:rPr>
        <w:lastRenderedPageBreak/>
        <w:t>（一）开展同种</w:t>
      </w:r>
      <w:r>
        <w:rPr>
          <w:rFonts w:ascii="仿宋_GB2312" w:eastAsia="仿宋_GB2312" w:hint="eastAsia"/>
          <w:sz w:val="32"/>
          <w:szCs w:val="32"/>
        </w:rPr>
        <w:t>异体皮肤</w:t>
      </w:r>
      <w:r>
        <w:rPr>
          <w:rFonts w:ascii="仿宋_GB2312" w:eastAsia="仿宋_GB2312" w:hint="eastAsia"/>
          <w:kern w:val="0"/>
          <w:sz w:val="32"/>
          <w:szCs w:val="32"/>
        </w:rPr>
        <w:t>移植的医师。</w:t>
      </w:r>
    </w:p>
    <w:p w:rsidR="00995047" w:rsidRDefault="007A0578">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1.取得《医师执业证书》，执业范围外科专业。</w:t>
      </w:r>
    </w:p>
    <w:p w:rsidR="00995047" w:rsidRDefault="007A0578">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2.有15年以上烧伤或整形临床工作经验，有主治医师及以上专业技术职务任职资格。</w:t>
      </w:r>
    </w:p>
    <w:p w:rsidR="00995047" w:rsidRDefault="007A0578">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3.近3年作为术者每年完成皮肤组织缺损修复重建手术150</w:t>
      </w:r>
      <w:r>
        <w:rPr>
          <w:rFonts w:ascii="仿宋_GB2312" w:eastAsia="仿宋_GB2312" w:hAnsi="ˎ̥" w:hint="eastAsia"/>
          <w:sz w:val="32"/>
          <w:szCs w:val="32"/>
        </w:rPr>
        <w:t>例以</w:t>
      </w:r>
      <w:r>
        <w:rPr>
          <w:rFonts w:ascii="仿宋_GB2312" w:eastAsia="仿宋_GB2312" w:hint="eastAsia"/>
          <w:sz w:val="32"/>
          <w:szCs w:val="32"/>
        </w:rPr>
        <w:t>上，包括皮肤软组织创伤、整形及修复重建手术等。</w:t>
      </w:r>
    </w:p>
    <w:p w:rsidR="00995047" w:rsidRDefault="007A0578">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（二）其他相关卫生专业技术人员。</w:t>
      </w:r>
    </w:p>
    <w:p w:rsidR="00995047" w:rsidRDefault="00406D23" w:rsidP="00DC7571">
      <w:pPr>
        <w:adjustRightInd w:val="0"/>
        <w:snapToGrid w:val="0"/>
        <w:spacing w:line="360" w:lineRule="auto"/>
        <w:ind w:firstLineChars="177" w:firstLine="566"/>
        <w:rPr>
          <w:rFonts w:ascii="仿宋_GB2312" w:eastAsia="仿宋_GB2312"/>
          <w:sz w:val="32"/>
          <w:szCs w:val="32"/>
        </w:rPr>
      </w:pPr>
      <w:r w:rsidRPr="00406D23">
        <w:rPr>
          <w:rFonts w:ascii="仿宋_GB2312" w:eastAsia="仿宋_GB2312" w:hint="eastAsia"/>
          <w:sz w:val="32"/>
          <w:szCs w:val="32"/>
        </w:rPr>
        <w:t>满足开展</w:t>
      </w:r>
      <w:r>
        <w:rPr>
          <w:rFonts w:ascii="仿宋_GB2312" w:eastAsia="仿宋_GB2312" w:hint="eastAsia"/>
          <w:sz w:val="32"/>
          <w:szCs w:val="32"/>
        </w:rPr>
        <w:t>同种异体皮肤移植</w:t>
      </w:r>
      <w:r w:rsidRPr="00406D23">
        <w:rPr>
          <w:rFonts w:ascii="仿宋_GB2312" w:eastAsia="仿宋_GB2312" w:hint="eastAsia"/>
          <w:sz w:val="32"/>
          <w:szCs w:val="32"/>
        </w:rPr>
        <w:t>技术临床应用所需的相关条件。</w:t>
      </w:r>
    </w:p>
    <w:p w:rsidR="00995047" w:rsidRDefault="007A0578">
      <w:pPr>
        <w:adjustRightInd w:val="0"/>
        <w:snapToGrid w:val="0"/>
        <w:spacing w:line="360" w:lineRule="auto"/>
        <w:ind w:firstLineChars="150" w:firstLine="480"/>
        <w:rPr>
          <w:rFonts w:ascii="黑体" w:eastAsia="黑体"/>
          <w:sz w:val="32"/>
          <w:szCs w:val="32"/>
        </w:rPr>
      </w:pPr>
      <w:r>
        <w:rPr>
          <w:rFonts w:ascii="黑体" w:eastAsia="黑体" w:hint="eastAsia"/>
          <w:sz w:val="32"/>
          <w:szCs w:val="32"/>
        </w:rPr>
        <w:t xml:space="preserve"> 三、技术管理基本要求</w:t>
      </w:r>
    </w:p>
    <w:p w:rsidR="00995047" w:rsidRDefault="007A057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kern w:val="0"/>
          <w:sz w:val="32"/>
          <w:szCs w:val="32"/>
        </w:rPr>
        <w:t>（一）严格遵守相关技术操作规范和诊疗指南</w:t>
      </w:r>
      <w:r>
        <w:rPr>
          <w:rFonts w:ascii="仿宋_GB2312" w:eastAsia="仿宋_GB2312" w:hint="eastAsia"/>
          <w:sz w:val="32"/>
          <w:szCs w:val="32"/>
        </w:rPr>
        <w:t>，根据患者病情、可选择的治疗方案等因素综合判断治疗措施，因病施治，合理治疗，严格掌握同种异体皮肤移植技术的适应证和禁忌证。</w:t>
      </w:r>
    </w:p>
    <w:p w:rsidR="00995047" w:rsidRDefault="007A057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（二）有健全的移植物管理制度并认真落实，移植物来源符合有关法律法规规定，可溯源。</w:t>
      </w:r>
    </w:p>
    <w:p w:rsidR="00995047" w:rsidRDefault="007A0578">
      <w:pPr>
        <w:adjustRightInd w:val="0"/>
        <w:snapToGrid w:val="0"/>
        <w:spacing w:line="360" w:lineRule="auto"/>
        <w:ind w:firstLineChars="200" w:firstLine="640"/>
        <w:rPr>
          <w:rFonts w:ascii="仿宋_GB2312" w:eastAsia="仿宋_GB2312" w:hAnsi="ˎ̥"/>
          <w:sz w:val="32"/>
          <w:szCs w:val="32"/>
        </w:rPr>
      </w:pPr>
      <w:r>
        <w:rPr>
          <w:rFonts w:ascii="仿宋_GB2312" w:eastAsia="仿宋_GB2312" w:hint="eastAsia"/>
          <w:sz w:val="32"/>
          <w:szCs w:val="32"/>
        </w:rPr>
        <w:t>（三）摘取同种异体皮肤应当符合无菌操作要求</w:t>
      </w:r>
      <w:r>
        <w:rPr>
          <w:rFonts w:ascii="仿宋_GB2312" w:eastAsia="仿宋_GB2312" w:hAnsi="ˎ̥" w:hint="eastAsia"/>
          <w:sz w:val="32"/>
          <w:szCs w:val="32"/>
        </w:rPr>
        <w:t>。</w:t>
      </w:r>
    </w:p>
    <w:p w:rsidR="00995047" w:rsidRDefault="007A057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（四）实施同种异体皮肤移植前，应当向患者及其家属告知手术目的、手术风险、术后注意事项、可能发生的并发症及预防措施等，并签署手术知情同意书。</w:t>
      </w:r>
    </w:p>
    <w:p w:rsidR="00995047" w:rsidRDefault="007A0578">
      <w:pPr>
        <w:adjustRightInd w:val="0"/>
        <w:snapToGrid w:val="0"/>
        <w:spacing w:line="360" w:lineRule="auto"/>
        <w:ind w:firstLineChars="150" w:firstLine="480"/>
        <w:rPr>
          <w:rFonts w:ascii="仿宋_GB2312" w:eastAsia="仿宋_GB2312" w:hAnsi="宋体" w:cs="Times New Roman"/>
          <w:sz w:val="32"/>
          <w:szCs w:val="32"/>
        </w:rPr>
      </w:pPr>
      <w:r>
        <w:rPr>
          <w:rFonts w:ascii="仿宋_GB2312" w:eastAsia="仿宋_GB2312" w:hint="eastAsia"/>
          <w:sz w:val="32"/>
          <w:szCs w:val="32"/>
        </w:rPr>
        <w:t>（五）</w:t>
      </w:r>
      <w:r>
        <w:rPr>
          <w:rFonts w:ascii="仿宋_GB2312" w:eastAsia="仿宋_GB2312" w:hAnsi="宋体" w:cs="Times New Roman" w:hint="eastAsia"/>
          <w:sz w:val="32"/>
          <w:szCs w:val="32"/>
        </w:rPr>
        <w:t>建立病例信息数据库并配备人员进行严格管理，在完成每例</w:t>
      </w:r>
      <w:r>
        <w:rPr>
          <w:rFonts w:ascii="仿宋_GB2312" w:eastAsia="仿宋_GB2312" w:hint="eastAsia"/>
          <w:sz w:val="32"/>
          <w:szCs w:val="32"/>
        </w:rPr>
        <w:t>同种异体皮肤移植</w:t>
      </w:r>
      <w:r>
        <w:rPr>
          <w:rFonts w:ascii="仿宋_GB2312" w:eastAsia="仿宋_GB2312" w:hAnsi="宋体" w:cs="Times New Roman" w:hint="eastAsia"/>
          <w:sz w:val="32"/>
          <w:szCs w:val="32"/>
        </w:rPr>
        <w:t>后，应当按要求保留并按规定</w:t>
      </w:r>
      <w:r>
        <w:rPr>
          <w:rFonts w:ascii="仿宋_GB2312" w:eastAsia="仿宋_GB2312" w:hAnsi="宋体" w:cs="Times New Roman" w:hint="eastAsia"/>
          <w:sz w:val="32"/>
          <w:szCs w:val="32"/>
        </w:rPr>
        <w:lastRenderedPageBreak/>
        <w:t>及时上报相关病例数据信息。</w:t>
      </w:r>
    </w:p>
    <w:p w:rsidR="00995047" w:rsidRDefault="007A057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（六）医疗机构和医师按照规定接受同种异体皮肤移植技术临床应用能力评估，包括病例选择、手术成功率、严重并发症、药物并发症、医疗事故发生情况、术后患者管理、患者生存质量和病历质量等。</w:t>
      </w:r>
    </w:p>
    <w:p w:rsidR="00995047" w:rsidRDefault="007A057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（七）其他管理要求。</w:t>
      </w:r>
    </w:p>
    <w:p w:rsidR="00995047" w:rsidRDefault="007A0578">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1.使用经国家食品药品监督管理总局批准的同种异体皮肤移植所需医用器材。</w:t>
      </w:r>
    </w:p>
    <w:p w:rsidR="00995047" w:rsidRDefault="007A0578">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2.如移植物为国家食品药品监督管理总局批准的生物制品，医疗机构应当建立登记制度，保证可追溯，在患者住院病历的手术记录部分留存移植的生物制品条形码或者其他合格证明文件。</w:t>
      </w:r>
    </w:p>
    <w:p w:rsidR="00995047" w:rsidRDefault="00995047">
      <w:pPr>
        <w:adjustRightInd w:val="0"/>
        <w:snapToGrid w:val="0"/>
        <w:spacing w:line="360" w:lineRule="auto"/>
        <w:ind w:firstLineChars="150" w:firstLine="480"/>
        <w:rPr>
          <w:rFonts w:ascii="仿宋_GB2312" w:eastAsia="仿宋_GB2312"/>
          <w:sz w:val="32"/>
          <w:szCs w:val="32"/>
        </w:rPr>
      </w:pPr>
    </w:p>
    <w:p w:rsidR="00995047" w:rsidRDefault="00995047">
      <w:pPr>
        <w:adjustRightInd w:val="0"/>
        <w:snapToGrid w:val="0"/>
        <w:spacing w:line="360" w:lineRule="auto"/>
        <w:ind w:firstLineChars="150" w:firstLine="480"/>
        <w:rPr>
          <w:rFonts w:ascii="仿宋_GB2312" w:eastAsia="仿宋_GB2312"/>
          <w:sz w:val="32"/>
          <w:szCs w:val="32"/>
        </w:rPr>
      </w:pPr>
    </w:p>
    <w:p w:rsidR="00995047" w:rsidRPr="00C1306E" w:rsidRDefault="00995047" w:rsidP="00C1306E">
      <w:pPr>
        <w:widowControl/>
        <w:jc w:val="left"/>
        <w:rPr>
          <w:rFonts w:ascii="仿宋_GB2312" w:eastAsia="仿宋_GB2312"/>
          <w:sz w:val="32"/>
          <w:szCs w:val="32"/>
        </w:rPr>
      </w:pPr>
    </w:p>
    <w:sectPr w:rsidR="00995047" w:rsidRPr="00C130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AA" w:rsidRDefault="00FB0FAA" w:rsidP="00F0710B">
      <w:r>
        <w:separator/>
      </w:r>
    </w:p>
  </w:endnote>
  <w:endnote w:type="continuationSeparator" w:id="0">
    <w:p w:rsidR="00FB0FAA" w:rsidRDefault="00FB0FAA" w:rsidP="00F0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AA" w:rsidRDefault="00FB0FAA" w:rsidP="00F0710B">
      <w:r>
        <w:separator/>
      </w:r>
    </w:p>
  </w:footnote>
  <w:footnote w:type="continuationSeparator" w:id="0">
    <w:p w:rsidR="00FB0FAA" w:rsidRDefault="00FB0FAA" w:rsidP="00F07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35"/>
    <w:rsid w:val="000C5F35"/>
    <w:rsid w:val="00176DB0"/>
    <w:rsid w:val="00230547"/>
    <w:rsid w:val="00266277"/>
    <w:rsid w:val="00304415"/>
    <w:rsid w:val="003520B4"/>
    <w:rsid w:val="003A05F9"/>
    <w:rsid w:val="00406D23"/>
    <w:rsid w:val="00590AD2"/>
    <w:rsid w:val="00633EF8"/>
    <w:rsid w:val="00653278"/>
    <w:rsid w:val="00792E52"/>
    <w:rsid w:val="007A0578"/>
    <w:rsid w:val="009307B0"/>
    <w:rsid w:val="00995047"/>
    <w:rsid w:val="00AE5D4C"/>
    <w:rsid w:val="00AF0AA7"/>
    <w:rsid w:val="00BE660C"/>
    <w:rsid w:val="00C1306E"/>
    <w:rsid w:val="00D12160"/>
    <w:rsid w:val="00DA10E8"/>
    <w:rsid w:val="00DC7571"/>
    <w:rsid w:val="00EE05E8"/>
    <w:rsid w:val="00F0710B"/>
    <w:rsid w:val="00F11CF3"/>
    <w:rsid w:val="00FB0FAA"/>
    <w:rsid w:val="00FC7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779</Characters>
  <Application>Microsoft Office Word</Application>
  <DocSecurity>0</DocSecurity>
  <Lines>55</Lines>
  <Paragraphs>34</Paragraphs>
  <ScaleCrop>false</ScaleCrop>
  <Company>中华人民共和国卫生部</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yxc</dc:creator>
  <cp:lastModifiedBy>医政医管局,医疗质量处,马旭东</cp:lastModifiedBy>
  <cp:revision>4</cp:revision>
  <dcterms:created xsi:type="dcterms:W3CDTF">2016-09-19T08:49:00Z</dcterms:created>
  <dcterms:modified xsi:type="dcterms:W3CDTF">2017-02-04T01:23:00Z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